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47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1C147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Братуняк Олег Федорович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C1479">
      <w:pPr>
        <w:rPr>
          <w:rFonts w:eastAsia="Times New Roman"/>
          <w:color w:val="000000"/>
        </w:rPr>
      </w:pPr>
    </w:p>
    <w:p w:rsidR="00000000" w:rsidRDefault="001C147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C147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"Кропивницький олiйноекстракцiйний завод"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25030, Кiровоградська обл. м. Кропивницький, вул. Урожайна,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00373869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(0522) 390-128, 245-978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r.uschapovsky@kernel.ua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1C1479">
      <w:pPr>
        <w:rPr>
          <w:rFonts w:eastAsia="Times New Roman"/>
          <w:color w:val="000000"/>
        </w:rPr>
      </w:pPr>
    </w:p>
    <w:p w:rsidR="00000000" w:rsidRDefault="001C147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3074"/>
        <w:gridCol w:w="2000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№139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http://kirovogradoliya.pat.ua/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C1479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1C147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2722"/>
        <w:gridCol w:w="5445"/>
        <w:gridCol w:w="2722"/>
        <w:gridCol w:w="2722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443527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80.09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C147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20.07.2018 наглядовою радою ПРАТ "Кропивницький ОЕЗ", надалi - товариство, (протокол №б/н вiд 20.07.2018) прийнято рiшення про надання згоди на укладання </w:t>
            </w:r>
            <w:r>
              <w:rPr>
                <w:rFonts w:eastAsia="Times New Roman"/>
                <w:color w:val="000000"/>
              </w:rPr>
              <w:t>товариством договору поставки з ТОВ "Кернел-Трейд", за яким ТОВ "Кернел-Трейд" зобов’язується поставити товариству насiння соняшнику, а товариство зобов’язується прийняти i оплатити товар. Укладання договору було схвалено (попередньо) загальними зборами ак</w:t>
            </w:r>
            <w:r>
              <w:rPr>
                <w:rFonts w:eastAsia="Times New Roman"/>
                <w:color w:val="000000"/>
              </w:rPr>
              <w:t>цiонерiв (протокол вiд 25.04.2018). Ринкова вартiсть майна або послуг, що є предметом правочину: 355200,0 тис. грн., вартiсть активiв емiтента за даними останньої рiчної фiнансової звiтностi: 443527,0 тис.грн., спiввiдношення ринкової вартостi майна або по</w:t>
            </w:r>
            <w:r>
              <w:rPr>
                <w:rFonts w:eastAsia="Times New Roman"/>
                <w:color w:val="000000"/>
              </w:rPr>
              <w:t>слуг, що є предметом правочину, до вартостi активiв емiтента за даними останньої рiчної фiнансової звiтностi: 80,09%. Додатковi критерiї для вiднесення правочину до значного правочину, не передбаченi законодавством, Статутом ПРАТ "Кропивницький ОЕЗ" не пер</w:t>
            </w:r>
            <w:r>
              <w:rPr>
                <w:rFonts w:eastAsia="Times New Roman"/>
                <w:color w:val="000000"/>
              </w:rPr>
              <w:t>едбаченi.</w:t>
            </w:r>
          </w:p>
        </w:tc>
      </w:tr>
    </w:tbl>
    <w:p w:rsidR="00000000" w:rsidRDefault="001C1479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AA5FE5"/>
    <w:rsid w:val="001C1479"/>
    <w:rsid w:val="00A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2018-07-25T17:03:00Z</dcterms:created>
  <dcterms:modified xsi:type="dcterms:W3CDTF">2018-07-25T17:07:00Z</dcterms:modified>
</cp:coreProperties>
</file>