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34" w:rsidRPr="005B4247" w:rsidRDefault="00713E34" w:rsidP="00713E34">
      <w:pPr>
        <w:jc w:val="center"/>
        <w:rPr>
          <w:rFonts w:ascii="PragmaticaCTT" w:hAnsi="PragmaticaCTT"/>
          <w:b/>
          <w:sz w:val="20"/>
          <w:szCs w:val="20"/>
          <w:lang w:val="uk-UA"/>
        </w:rPr>
      </w:pPr>
      <w:r w:rsidRPr="005B4247">
        <w:rPr>
          <w:rFonts w:ascii="PragmaticaCTT" w:hAnsi="PragmaticaCTT"/>
          <w:b/>
          <w:sz w:val="20"/>
          <w:szCs w:val="20"/>
          <w:lang w:val="uk-UA"/>
        </w:rPr>
        <w:t>Публічне акціонерне товариство «</w:t>
      </w:r>
      <w:proofErr w:type="spellStart"/>
      <w:r w:rsidRPr="005B4247">
        <w:rPr>
          <w:rFonts w:ascii="PragmaticaCTT" w:hAnsi="PragmaticaCTT"/>
          <w:b/>
          <w:sz w:val="20"/>
          <w:szCs w:val="20"/>
          <w:lang w:val="uk-UA"/>
        </w:rPr>
        <w:t>Кіровоградолія</w:t>
      </w:r>
      <w:proofErr w:type="spellEnd"/>
      <w:r w:rsidRPr="005B4247">
        <w:rPr>
          <w:rFonts w:ascii="PragmaticaCTT" w:hAnsi="PragmaticaCTT"/>
          <w:b/>
          <w:sz w:val="20"/>
          <w:szCs w:val="20"/>
          <w:lang w:val="uk-UA"/>
        </w:rPr>
        <w:t>»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color w:val="000000"/>
          <w:sz w:val="20"/>
          <w:szCs w:val="20"/>
          <w:lang w:val="uk-UA"/>
        </w:rPr>
      </w:pPr>
      <w:r w:rsidRPr="005B4247">
        <w:rPr>
          <w:rFonts w:ascii="PragmaticaCTT" w:hAnsi="PragmaticaCTT"/>
          <w:color w:val="000000"/>
          <w:sz w:val="20"/>
          <w:szCs w:val="20"/>
          <w:lang w:val="uk-UA"/>
        </w:rPr>
        <w:t>(ідентифікаційний код юридичної особи 00373869)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color w:val="000000"/>
          <w:sz w:val="20"/>
          <w:szCs w:val="20"/>
          <w:lang w:val="uk-UA"/>
        </w:rPr>
      </w:pPr>
      <w:r w:rsidRPr="005B4247">
        <w:rPr>
          <w:rFonts w:ascii="PragmaticaCTT" w:hAnsi="PragmaticaCTT"/>
          <w:color w:val="000000"/>
          <w:sz w:val="20"/>
          <w:szCs w:val="20"/>
          <w:lang w:val="uk-UA"/>
        </w:rPr>
        <w:t>місцезнаходження</w:t>
      </w:r>
      <w:r w:rsidRPr="005B4247">
        <w:rPr>
          <w:rFonts w:ascii="PragmaticaCTT" w:hAnsi="PragmaticaCTT"/>
          <w:sz w:val="20"/>
          <w:szCs w:val="20"/>
          <w:lang w:val="uk-UA"/>
        </w:rPr>
        <w:t xml:space="preserve"> </w:t>
      </w:r>
      <w:r w:rsidRPr="005B4247">
        <w:rPr>
          <w:rFonts w:ascii="PragmaticaCTT" w:hAnsi="PragmaticaCTT"/>
          <w:color w:val="000000"/>
          <w:sz w:val="20"/>
          <w:szCs w:val="20"/>
          <w:lang w:val="uk-UA"/>
        </w:rPr>
        <w:t>вул. Урожайна, б. 30, м. Кіровоград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(далі за текстом - Товариство)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по</w:t>
      </w:r>
      <w:r>
        <w:rPr>
          <w:rFonts w:ascii="PragmaticaCTT" w:hAnsi="PragmaticaCTT"/>
          <w:bCs/>
          <w:sz w:val="20"/>
          <w:szCs w:val="20"/>
          <w:lang w:val="uk-UA"/>
        </w:rPr>
        <w:t>відомляє про проведення річних З</w:t>
      </w:r>
      <w:r w:rsidRPr="005B4247">
        <w:rPr>
          <w:rFonts w:ascii="PragmaticaCTT" w:hAnsi="PragmaticaCTT"/>
          <w:bCs/>
          <w:sz w:val="20"/>
          <w:szCs w:val="20"/>
          <w:lang w:val="uk-UA"/>
        </w:rPr>
        <w:t>агальних зборів акціонерів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(далі за текстом – Загальні збори)</w:t>
      </w:r>
    </w:p>
    <w:p w:rsidR="00713E34" w:rsidRPr="005B4247" w:rsidRDefault="00713E34" w:rsidP="00713E34">
      <w:pPr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22 квітня 2016 року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за </w:t>
      </w:r>
      <w:proofErr w:type="spellStart"/>
      <w:r w:rsidRPr="005B4247">
        <w:rPr>
          <w:rFonts w:ascii="PragmaticaCTT" w:hAnsi="PragmaticaCTT"/>
          <w:bCs/>
          <w:sz w:val="20"/>
          <w:szCs w:val="20"/>
          <w:lang w:val="uk-UA"/>
        </w:rPr>
        <w:t>адресою</w:t>
      </w:r>
      <w:proofErr w:type="spellEnd"/>
      <w:r w:rsidRPr="005B4247">
        <w:rPr>
          <w:rFonts w:ascii="PragmaticaCTT" w:hAnsi="PragmaticaCTT"/>
          <w:bCs/>
          <w:sz w:val="20"/>
          <w:szCs w:val="20"/>
          <w:lang w:val="uk-UA"/>
        </w:rPr>
        <w:t>: вул. Урожайна, б. 30, м. Кіровоград (актовий зал).</w:t>
      </w:r>
    </w:p>
    <w:p w:rsidR="00713E34" w:rsidRPr="005B4247" w:rsidRDefault="00713E34" w:rsidP="00713E34">
      <w:pPr>
        <w:widowControl w:val="0"/>
        <w:autoSpaceDE w:val="0"/>
        <w:autoSpaceDN w:val="0"/>
        <w:adjustRightInd w:val="0"/>
        <w:jc w:val="center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Початок Загальних зборів о 15 год. 00 хв. Реєстрація учасників Загальних зборів відбудеться </w:t>
      </w:r>
      <w:r>
        <w:rPr>
          <w:rFonts w:ascii="PragmaticaCTT" w:hAnsi="PragmaticaCTT"/>
          <w:bCs/>
          <w:sz w:val="20"/>
          <w:szCs w:val="20"/>
          <w:lang w:val="uk-UA"/>
        </w:rPr>
        <w:t xml:space="preserve">            </w:t>
      </w:r>
      <w:r w:rsidRPr="005B4247">
        <w:rPr>
          <w:rFonts w:ascii="PragmaticaCTT" w:hAnsi="PragmaticaCTT"/>
          <w:bCs/>
          <w:sz w:val="20"/>
          <w:szCs w:val="20"/>
          <w:lang w:val="uk-UA"/>
        </w:rPr>
        <w:t>2</w:t>
      </w:r>
      <w:r>
        <w:rPr>
          <w:rFonts w:ascii="PragmaticaCTT" w:hAnsi="PragmaticaCTT"/>
          <w:bCs/>
          <w:sz w:val="20"/>
          <w:szCs w:val="20"/>
          <w:lang w:val="uk-UA"/>
        </w:rPr>
        <w:t>2</w:t>
      </w:r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 квітня 2016 року з 14 год. 00 хв. по 14 год. 45 хв. за місцем проведення Загальних зборів.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rPr>
          <w:rFonts w:ascii="PragmaticaCTT" w:hAnsi="PragmaticaCTT"/>
          <w:bCs/>
          <w:sz w:val="20"/>
          <w:szCs w:val="20"/>
          <w:lang w:val="uk-UA"/>
        </w:rPr>
      </w:pP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/>
          <w:bCs/>
          <w:sz w:val="20"/>
          <w:szCs w:val="20"/>
          <w:lang w:val="uk-UA"/>
        </w:rPr>
        <w:t>Порядок денний:</w:t>
      </w:r>
    </w:p>
    <w:p w:rsidR="00713E34" w:rsidRPr="005B4247" w:rsidRDefault="00135BB3" w:rsidP="00135BB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1.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Обрання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членів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лічильної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комісії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Загальних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зборів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>.</w:t>
      </w:r>
    </w:p>
    <w:p w:rsidR="00713E34" w:rsidRPr="005B4247" w:rsidRDefault="00135BB3" w:rsidP="00135BB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2.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Обрання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секретаря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Загальних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зборів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>.</w:t>
      </w:r>
    </w:p>
    <w:p w:rsidR="00713E34" w:rsidRPr="005B4247" w:rsidRDefault="00135BB3" w:rsidP="00135BB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3.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Затвердження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річного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звіту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Товариства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>.</w:t>
      </w:r>
    </w:p>
    <w:p w:rsidR="00713E34" w:rsidRPr="005B4247" w:rsidRDefault="00135BB3" w:rsidP="00135BB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4.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Розподіл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прибутку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(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покриття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збитків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)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Товариства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>.</w:t>
      </w:r>
    </w:p>
    <w:p w:rsidR="00713E34" w:rsidRPr="005B4247" w:rsidRDefault="00135BB3" w:rsidP="00135BB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5.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Прийняття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рішення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за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наслідками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розгляду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звіту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Наглядової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ради,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звіту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виконавчого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органу.</w:t>
      </w:r>
    </w:p>
    <w:p w:rsidR="00713E34" w:rsidRPr="005B4247" w:rsidRDefault="00135BB3" w:rsidP="00135B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6.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Внесення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змін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до статуту.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Затвердження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статуту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товариства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в </w:t>
      </w:r>
      <w:proofErr w:type="spellStart"/>
      <w:proofErr w:type="gramStart"/>
      <w:r w:rsidR="00713E34" w:rsidRPr="005B4247">
        <w:rPr>
          <w:rFonts w:ascii="PragmaticaCTT" w:hAnsi="PragmaticaCTT"/>
          <w:bCs/>
          <w:sz w:val="20"/>
          <w:szCs w:val="20"/>
        </w:rPr>
        <w:t>нов</w:t>
      </w:r>
      <w:proofErr w:type="gramEnd"/>
      <w:r w:rsidR="00713E34" w:rsidRPr="005B4247">
        <w:rPr>
          <w:rFonts w:ascii="PragmaticaCTT" w:hAnsi="PragmaticaCTT"/>
          <w:bCs/>
          <w:sz w:val="20"/>
          <w:szCs w:val="20"/>
        </w:rPr>
        <w:t>ій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редакції</w:t>
      </w:r>
      <w:proofErr w:type="spellEnd"/>
    </w:p>
    <w:p w:rsidR="00713E34" w:rsidRPr="005B4247" w:rsidRDefault="00135BB3" w:rsidP="00135B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7.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Припинення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повноважень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члена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Наглядової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ради.</w:t>
      </w:r>
    </w:p>
    <w:p w:rsidR="00713E34" w:rsidRPr="005B4247" w:rsidRDefault="00135BB3" w:rsidP="00135B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8.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Обрання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членів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наглядової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ради,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затвердження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умов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цивільно-правових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договорів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,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що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укладатимуться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з ними,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встановлення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розміру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їх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винагороди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,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обрання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особи, яка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уповноважується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на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підписання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договорів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з членами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наглядової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ради.</w:t>
      </w:r>
    </w:p>
    <w:p w:rsidR="00713E34" w:rsidRPr="005B4247" w:rsidRDefault="00135BB3" w:rsidP="00135B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PragmaticaCTT" w:hAnsi="PragmaticaCTT"/>
          <w:bCs/>
          <w:sz w:val="20"/>
          <w:szCs w:val="20"/>
        </w:rPr>
      </w:pPr>
      <w:r>
        <w:rPr>
          <w:rFonts w:ascii="PragmaticaCTT" w:hAnsi="PragmaticaCTT"/>
          <w:bCs/>
          <w:sz w:val="20"/>
          <w:szCs w:val="20"/>
          <w:lang w:val="uk-UA"/>
        </w:rPr>
        <w:t>9.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Попереднє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схвалення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значних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 xml:space="preserve"> </w:t>
      </w:r>
      <w:proofErr w:type="spellStart"/>
      <w:r w:rsidR="00713E34" w:rsidRPr="005B4247">
        <w:rPr>
          <w:rFonts w:ascii="PragmaticaCTT" w:hAnsi="PragmaticaCTT"/>
          <w:bCs/>
          <w:sz w:val="20"/>
          <w:szCs w:val="20"/>
        </w:rPr>
        <w:t>правочинів</w:t>
      </w:r>
      <w:proofErr w:type="spellEnd"/>
      <w:r w:rsidR="00713E34" w:rsidRPr="005B4247">
        <w:rPr>
          <w:rFonts w:ascii="PragmaticaCTT" w:hAnsi="PragmaticaCTT"/>
          <w:bCs/>
          <w:sz w:val="20"/>
          <w:szCs w:val="20"/>
        </w:rPr>
        <w:t>.</w:t>
      </w: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PragmaticaCTT" w:hAnsi="PragmaticaCTT"/>
          <w:bCs/>
          <w:sz w:val="20"/>
          <w:szCs w:val="20"/>
          <w:lang w:val="uk-UA"/>
        </w:rPr>
      </w:pP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ragmaticaCTT" w:hAnsi="PragmaticaCTT"/>
          <w:b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/>
          <w:bCs/>
          <w:sz w:val="20"/>
          <w:szCs w:val="20"/>
          <w:lang w:val="uk-UA"/>
        </w:rPr>
        <w:t>Основні показники фінансово-господарської діяльності підприємства (тис. 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525"/>
      </w:tblGrid>
      <w:tr w:rsidR="00713E34" w:rsidRPr="005B4247" w:rsidTr="00C93BD4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період</w:t>
            </w:r>
          </w:p>
        </w:tc>
      </w:tr>
      <w:tr w:rsidR="00713E34" w:rsidRPr="005B4247" w:rsidTr="00C93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4" w:rsidRPr="005B4247" w:rsidRDefault="00713E34" w:rsidP="00C93BD4">
            <w:pPr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 xml:space="preserve">звітний </w:t>
            </w:r>
            <w:proofErr w:type="spellStart"/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PragmaticaCTT" w:hAnsi="PragmaticaCTT"/>
                <w:bCs/>
                <w:sz w:val="20"/>
                <w:szCs w:val="20"/>
                <w:lang w:val="uk-UA"/>
              </w:rPr>
              <w:t>15</w:t>
            </w: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р</w:t>
            </w:r>
            <w:proofErr w:type="spellEnd"/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 xml:space="preserve">попередній </w:t>
            </w:r>
            <w:proofErr w:type="spellStart"/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201</w:t>
            </w:r>
            <w:r>
              <w:rPr>
                <w:rFonts w:ascii="PragmaticaCTT" w:hAnsi="PragmaticaCTT"/>
                <w:bCs/>
                <w:sz w:val="20"/>
                <w:szCs w:val="20"/>
                <w:lang w:val="uk-UA"/>
              </w:rPr>
              <w:t>4</w:t>
            </w: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р</w:t>
            </w:r>
            <w:proofErr w:type="spellEnd"/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348634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327161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146829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222885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spacing w:line="276" w:lineRule="auto"/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8059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7403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192629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96677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AC7D50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1117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196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8326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-6440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172689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172689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105527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105527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Довгострокові зобов’язання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76565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50304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Поточні зобов’язання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1142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3443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15808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-7688</w:t>
            </w:r>
          </w:p>
        </w:tc>
      </w:tr>
      <w:tr w:rsidR="00713E34" w:rsidRPr="005B4247" w:rsidTr="00C93BD4">
        <w:trPr>
          <w:trHeight w:val="3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A1BE5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5276353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5276353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jc w:val="both"/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85682" w:rsidRDefault="00713E34" w:rsidP="00C93BD4">
            <w:pPr>
              <w:jc w:val="center"/>
              <w:rPr>
                <w:rFonts w:ascii="PragmaticaCTT" w:hAnsi="PragmaticaCTT"/>
                <w:bCs/>
                <w:lang w:val="uk-UA"/>
              </w:rPr>
            </w:pPr>
            <w:r>
              <w:rPr>
                <w:rFonts w:ascii="PragmaticaCTT" w:hAnsi="PragmaticaCTT"/>
                <w:bCs/>
                <w:lang w:val="uk-UA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-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C85682" w:rsidRDefault="00713E34" w:rsidP="00C93BD4">
            <w:pPr>
              <w:jc w:val="center"/>
              <w:rPr>
                <w:rFonts w:ascii="PragmaticaCTT" w:hAnsi="PragmaticaCTT"/>
                <w:bCs/>
                <w:lang w:val="uk-UA"/>
              </w:rPr>
            </w:pPr>
            <w:r>
              <w:rPr>
                <w:rFonts w:ascii="PragmaticaCTT" w:hAnsi="PragmaticaCTT"/>
                <w:bCs/>
                <w:lang w:val="uk-UA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-</w:t>
            </w:r>
          </w:p>
        </w:tc>
      </w:tr>
      <w:tr w:rsidR="00713E34" w:rsidRPr="005B4247" w:rsidTr="00C93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34" w:rsidRPr="005B4247" w:rsidRDefault="00713E34" w:rsidP="00C93BD4">
            <w:pPr>
              <w:rPr>
                <w:rFonts w:ascii="PragmaticaCTT" w:hAnsi="PragmaticaCTT"/>
                <w:bCs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bCs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AC7D50" w:rsidRDefault="00713E34" w:rsidP="00C93BD4">
            <w:pPr>
              <w:jc w:val="center"/>
              <w:rPr>
                <w:rFonts w:ascii="PragmaticaCTT" w:hAnsi="PragmaticaCTT"/>
                <w:bCs/>
                <w:lang w:val="en-US"/>
              </w:rPr>
            </w:pPr>
            <w:r>
              <w:rPr>
                <w:rFonts w:ascii="PragmaticaCTT" w:hAnsi="PragmaticaCTT"/>
                <w:bCs/>
                <w:lang w:val="en-US"/>
              </w:rPr>
              <w:t>344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4" w:rsidRPr="005B4247" w:rsidRDefault="00713E34" w:rsidP="00C93BD4">
            <w:pPr>
              <w:jc w:val="center"/>
              <w:rPr>
                <w:rFonts w:ascii="PragmaticaCTT" w:hAnsi="PragmaticaCTT"/>
                <w:sz w:val="20"/>
                <w:szCs w:val="20"/>
                <w:lang w:val="uk-UA"/>
              </w:rPr>
            </w:pPr>
            <w:r w:rsidRPr="005B4247">
              <w:rPr>
                <w:rFonts w:ascii="PragmaticaCTT" w:hAnsi="PragmaticaCTT"/>
                <w:sz w:val="20"/>
                <w:szCs w:val="20"/>
                <w:lang w:val="uk-UA"/>
              </w:rPr>
              <w:t>344</w:t>
            </w:r>
          </w:p>
        </w:tc>
      </w:tr>
    </w:tbl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</w:p>
    <w:p w:rsidR="00713E34" w:rsidRPr="005B4247" w:rsidRDefault="00713E34" w:rsidP="00713E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Для участі у Загальних зборах при собі слід мати документ, що ідентифікує особу акціонера (його представника), а для представника акціонера – також документи, що підтверджують повноваження представника на участь у Загальних зборах.</w:t>
      </w:r>
    </w:p>
    <w:p w:rsidR="00713E34" w:rsidRPr="005B4247" w:rsidRDefault="00713E34" w:rsidP="00713E34">
      <w:pPr>
        <w:widowControl w:val="0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Датою складення переліку акціонерів, які мають право н</w:t>
      </w:r>
      <w:r>
        <w:rPr>
          <w:rFonts w:ascii="PragmaticaCTT" w:hAnsi="PragmaticaCTT"/>
          <w:bCs/>
          <w:sz w:val="20"/>
          <w:szCs w:val="20"/>
          <w:lang w:val="uk-UA"/>
        </w:rPr>
        <w:t xml:space="preserve">а участь у загальних зборах, є </w:t>
      </w:r>
      <w:r w:rsidRPr="005B4247">
        <w:rPr>
          <w:rFonts w:ascii="PragmaticaCTT" w:hAnsi="PragmaticaCTT"/>
          <w:bCs/>
          <w:sz w:val="20"/>
          <w:szCs w:val="20"/>
          <w:lang w:val="uk-UA"/>
        </w:rPr>
        <w:t>1</w:t>
      </w:r>
      <w:r>
        <w:rPr>
          <w:rFonts w:ascii="PragmaticaCTT" w:hAnsi="PragmaticaCTT"/>
          <w:bCs/>
          <w:sz w:val="20"/>
          <w:szCs w:val="20"/>
          <w:lang w:val="uk-UA"/>
        </w:rPr>
        <w:t>8</w:t>
      </w:r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 квітня 2016 року.</w:t>
      </w:r>
    </w:p>
    <w:p w:rsidR="00713E34" w:rsidRPr="005B4247" w:rsidRDefault="00713E34" w:rsidP="00713E34">
      <w:pPr>
        <w:widowControl w:val="0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З документами, необхідними для прийняття рішень з питань порядку денного, акціонери можуть ознайомитися за місцезнаходженням товариства: вул. Урожайна, б. 30, м. Кіровоград в приймальні директора у робочі дні та у робочий час (з 8:00 до 17:00, обідня перерва з 12:00 до 13:00), а в день проведення Загальних зборів – також у місці їх проведення. Особою, відповідальною за порядок ознайомлення акціонерів з документами, є директор Товариства – </w:t>
      </w:r>
      <w:proofErr w:type="spellStart"/>
      <w:r w:rsidRPr="005B4247">
        <w:rPr>
          <w:rFonts w:ascii="PragmaticaCTT" w:hAnsi="PragmaticaCTT"/>
          <w:bCs/>
          <w:sz w:val="20"/>
          <w:szCs w:val="20"/>
          <w:lang w:val="uk-UA"/>
        </w:rPr>
        <w:t>Солнцев</w:t>
      </w:r>
      <w:proofErr w:type="spellEnd"/>
      <w:r w:rsidRPr="005B4247">
        <w:rPr>
          <w:rFonts w:ascii="PragmaticaCTT" w:hAnsi="PragmaticaCTT"/>
          <w:bCs/>
          <w:sz w:val="20"/>
          <w:szCs w:val="20"/>
          <w:lang w:val="uk-UA"/>
        </w:rPr>
        <w:t xml:space="preserve"> Микола Миколайович.</w:t>
      </w:r>
    </w:p>
    <w:p w:rsidR="00713E34" w:rsidRPr="005B4247" w:rsidRDefault="00713E34" w:rsidP="00713E34">
      <w:pPr>
        <w:widowControl w:val="0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  <w:r w:rsidRPr="005B4247">
        <w:rPr>
          <w:rFonts w:ascii="PragmaticaCTT" w:hAnsi="PragmaticaCTT"/>
          <w:bCs/>
          <w:sz w:val="20"/>
          <w:szCs w:val="20"/>
          <w:lang w:val="uk-UA"/>
        </w:rPr>
        <w:t>Довідки за телефоном: (0522) 39-01-28.</w:t>
      </w:r>
    </w:p>
    <w:p w:rsidR="00713E34" w:rsidRPr="005B4247" w:rsidRDefault="00713E34" w:rsidP="00713E34">
      <w:pPr>
        <w:widowControl w:val="0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</w:p>
    <w:p w:rsidR="00713E34" w:rsidRPr="009A61BB" w:rsidRDefault="00713E34" w:rsidP="00B04BD0">
      <w:pPr>
        <w:widowControl w:val="0"/>
        <w:autoSpaceDE w:val="0"/>
        <w:autoSpaceDN w:val="0"/>
        <w:adjustRightInd w:val="0"/>
        <w:jc w:val="both"/>
        <w:rPr>
          <w:rFonts w:ascii="PragmaticaCTT" w:hAnsi="PragmaticaCTT"/>
          <w:bCs/>
          <w:sz w:val="20"/>
          <w:szCs w:val="20"/>
          <w:lang w:val="uk-UA"/>
        </w:rPr>
      </w:pPr>
      <w:bookmarkStart w:id="0" w:name="_GoBack"/>
      <w:bookmarkEnd w:id="0"/>
      <w:r w:rsidRPr="009A61BB">
        <w:rPr>
          <w:rFonts w:ascii="PragmaticaCTT" w:hAnsi="PragmaticaCTT"/>
          <w:bCs/>
          <w:sz w:val="20"/>
          <w:szCs w:val="20"/>
          <w:lang w:val="uk-UA"/>
        </w:rPr>
        <w:t>Повідомлення про проведення загальних зборів опубліковано в офіційному виданні Національної комісії з цінних паперів та фондового ринку "Бюл</w:t>
      </w:r>
      <w:r w:rsidR="00135BB3">
        <w:rPr>
          <w:rFonts w:ascii="PragmaticaCTT" w:hAnsi="PragmaticaCTT"/>
          <w:bCs/>
          <w:sz w:val="20"/>
          <w:szCs w:val="20"/>
          <w:lang w:val="uk-UA"/>
        </w:rPr>
        <w:t>етень. Цінні папери України" № 45</w:t>
      </w:r>
      <w:r w:rsidRPr="009A61BB">
        <w:rPr>
          <w:rFonts w:ascii="PragmaticaCTT" w:hAnsi="PragmaticaCTT"/>
          <w:bCs/>
          <w:sz w:val="20"/>
          <w:szCs w:val="20"/>
          <w:lang w:val="uk-UA"/>
        </w:rPr>
        <w:t xml:space="preserve"> від </w:t>
      </w:r>
      <w:r w:rsidR="00135BB3">
        <w:rPr>
          <w:rFonts w:ascii="PragmaticaCTT" w:hAnsi="PragmaticaCTT"/>
          <w:bCs/>
          <w:sz w:val="20"/>
          <w:szCs w:val="20"/>
          <w:lang w:val="uk-UA"/>
        </w:rPr>
        <w:t>14</w:t>
      </w:r>
      <w:r w:rsidRPr="009A61BB">
        <w:rPr>
          <w:rFonts w:ascii="PragmaticaCTT" w:hAnsi="PragmaticaCTT"/>
          <w:bCs/>
          <w:sz w:val="20"/>
          <w:szCs w:val="20"/>
          <w:lang w:val="uk-UA"/>
        </w:rPr>
        <w:t>.03.2016 р.</w:t>
      </w:r>
    </w:p>
    <w:p w:rsidR="00081806" w:rsidRPr="00713E34" w:rsidRDefault="00081806" w:rsidP="00713E34">
      <w:pPr>
        <w:rPr>
          <w:lang w:val="uk-UA"/>
        </w:rPr>
      </w:pPr>
    </w:p>
    <w:sectPr w:rsidR="00081806" w:rsidRPr="00713E34" w:rsidSect="0050700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A1B"/>
    <w:multiLevelType w:val="hybridMultilevel"/>
    <w:tmpl w:val="3FF60B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7"/>
    <w:rsid w:val="00081806"/>
    <w:rsid w:val="00135BB3"/>
    <w:rsid w:val="002A6230"/>
    <w:rsid w:val="002F4CA2"/>
    <w:rsid w:val="0030758F"/>
    <w:rsid w:val="005B4247"/>
    <w:rsid w:val="006C3E83"/>
    <w:rsid w:val="00713E34"/>
    <w:rsid w:val="00726A3B"/>
    <w:rsid w:val="00786C7D"/>
    <w:rsid w:val="00897B47"/>
    <w:rsid w:val="00976D7E"/>
    <w:rsid w:val="00B04BD0"/>
    <w:rsid w:val="00B16192"/>
    <w:rsid w:val="00C8041B"/>
    <w:rsid w:val="00D25F3F"/>
    <w:rsid w:val="00E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Семида Наталья</dc:creator>
  <cp:lastModifiedBy>Семида Наталья</cp:lastModifiedBy>
  <cp:revision>4</cp:revision>
  <dcterms:created xsi:type="dcterms:W3CDTF">2016-02-29T14:57:00Z</dcterms:created>
  <dcterms:modified xsi:type="dcterms:W3CDTF">2016-03-14T10:33:00Z</dcterms:modified>
</cp:coreProperties>
</file>